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11D98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firstLine="0" w:firstLineChars="0"/>
        <w:jc w:val="left"/>
        <w:textAlignment w:val="auto"/>
      </w:pP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</w:rPr>
        <w:t>附件</w:t>
      </w:r>
      <w:r>
        <w:rPr>
          <w:rFonts w:ascii="Times New Roman" w:hAnsi="Times New Roman" w:eastAsia="黑体" w:cs="Times New Roman"/>
          <w:b w:val="0"/>
          <w:bCs w:val="0"/>
          <w:sz w:val="32"/>
          <w:szCs w:val="32"/>
        </w:rPr>
        <w:t>1</w:t>
      </w:r>
    </w:p>
    <w:p w14:paraId="5056B820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firstLine="0" w:firstLineChars="0"/>
        <w:jc w:val="center"/>
        <w:textAlignment w:val="auto"/>
        <w:rPr>
          <w:rFonts w:hint="eastAsia" w:ascii="华文中宋" w:hAnsi="华文中宋" w:eastAsia="华文中宋" w:cs="华文中宋"/>
          <w:b/>
          <w:bCs w:val="0"/>
        </w:rPr>
      </w:pPr>
    </w:p>
    <w:p w14:paraId="015DF61E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firstLine="0" w:firstLineChars="0"/>
        <w:jc w:val="center"/>
        <w:textAlignment w:val="auto"/>
      </w:pPr>
      <w:bookmarkStart w:id="1" w:name="_GoBack"/>
      <w:r>
        <w:rPr>
          <w:rFonts w:hint="eastAsia" w:ascii="华文中宋" w:hAnsi="华文中宋" w:eastAsia="华文中宋" w:cs="华文中宋"/>
          <w:b/>
          <w:bCs w:val="0"/>
        </w:rPr>
        <w:t>农业农村部作物栽培与机械化现代农业科技试验示范基地（吉林长春国家农业高新技术产业示范区）概况</w:t>
      </w:r>
    </w:p>
    <w:bookmarkEnd w:id="1"/>
    <w:p w14:paraId="00B1E54C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firstLine="640"/>
        <w:textAlignment w:val="auto"/>
        <w:rPr>
          <w:rFonts w:hint="eastAsia"/>
        </w:rPr>
      </w:pPr>
    </w:p>
    <w:p w14:paraId="635CB590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firstLine="640" w:firstLineChars="200"/>
        <w:textAlignment w:val="auto"/>
        <w:rPr>
          <w:b w:val="0"/>
          <w:bCs/>
        </w:rPr>
      </w:pPr>
      <w:r>
        <w:rPr>
          <w:rFonts w:hint="eastAsia"/>
          <w:b w:val="0"/>
          <w:bCs/>
          <w:lang w:val="en-US" w:eastAsia="zh-CN"/>
        </w:rPr>
        <w:t>一、示范基地</w:t>
      </w:r>
      <w:r>
        <w:rPr>
          <w:rFonts w:hint="eastAsia"/>
          <w:b w:val="0"/>
          <w:bCs/>
        </w:rPr>
        <w:t>概况</w:t>
      </w:r>
    </w:p>
    <w:p w14:paraId="03EBD66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textAlignment w:val="auto"/>
      </w:pPr>
      <w:r>
        <w:rPr>
          <w:rFonts w:hint="eastAsia"/>
        </w:rPr>
        <w:t>农业农村部作物栽培与机械化现代农业科技试验示范基地（吉林长春国家农业高新技术产业示范区）</w:t>
      </w:r>
      <w:r>
        <w:t>位于</w:t>
      </w:r>
      <w:r>
        <w:rPr>
          <w:rFonts w:hint="eastAsia"/>
        </w:rPr>
        <w:t>吉林省长春市公主岭市</w:t>
      </w:r>
      <w:r>
        <w:t>，</w:t>
      </w:r>
      <w:r>
        <w:rPr>
          <w:rFonts w:hint="eastAsia"/>
        </w:rPr>
        <w:t>总面积为12132亩，</w:t>
      </w:r>
      <w:r>
        <w:t>核心任务聚焦于黑土地保护与可持续利用和玉米、大豆等主要农作物种业创新两大关键领域，做到建设地点优中选优、建设规模经济适用、作物种类丰富多样、功能定位科学精准、模块设置兼顾品种优良性状及单项技术优选展示和综合集成，形成多单位参与、多渠道汇聚、多形式示范、多场景呈现、多维度评价“五个多”的协同联动格局。</w:t>
      </w:r>
    </w:p>
    <w:p w14:paraId="505D7BEE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firstLine="640" w:firstLineChars="200"/>
        <w:textAlignment w:val="auto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二、区位条件</w:t>
      </w:r>
    </w:p>
    <w:p w14:paraId="4240A8E6">
      <w:pPr>
        <w:pStyle w:val="6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/>
        <w:textAlignment w:val="auto"/>
      </w:pPr>
      <w:r>
        <w:rPr>
          <w:b/>
          <w:bCs/>
        </w:rPr>
        <w:t>地理位置：</w:t>
      </w:r>
      <w:r>
        <w:rPr>
          <w:rFonts w:hint="eastAsia"/>
          <w:lang w:eastAsia="zh-CN"/>
        </w:rPr>
        <w:t>示范基地</w:t>
      </w:r>
      <w:r>
        <w:rPr>
          <w:rFonts w:hint="eastAsia"/>
        </w:rPr>
        <w:t>位于公主岭市中部，属东北“黄金玉米带”“黄金水稻带”“大豆之乡”腹地。交通便利，京哈铁路、哈大高铁、京哈高速公路贯穿全境，距长春龙嘉机场约80公里，通达性好。</w:t>
      </w:r>
    </w:p>
    <w:p w14:paraId="27A514D7">
      <w:pPr>
        <w:pStyle w:val="6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/>
        <w:textAlignment w:val="auto"/>
      </w:pPr>
      <w:r>
        <w:rPr>
          <w:rFonts w:hint="eastAsia"/>
          <w:b/>
          <w:bCs/>
        </w:rPr>
        <w:t>气候条件：</w:t>
      </w:r>
      <w:r>
        <w:rPr>
          <w:rFonts w:hint="eastAsia"/>
        </w:rPr>
        <w:t>温带大陆性季风气候，温度、雨量、光照等季节性变化显著，春季干旱多大风，回暖迅速；夏季热而多雨；秋季温暖多晴朗天气；冬季漫长而寒冷。</w:t>
      </w:r>
      <w:r>
        <w:rPr>
          <w:rFonts w:hint="eastAsia"/>
          <w:lang w:eastAsia="zh-CN"/>
        </w:rPr>
        <w:t>平均年</w:t>
      </w:r>
      <w:r>
        <w:rPr>
          <w:rFonts w:hint="eastAsia"/>
        </w:rPr>
        <w:t xml:space="preserve">气温5.6 </w:t>
      </w:r>
      <w:r>
        <w:t>℃</w:t>
      </w:r>
      <w:r>
        <w:rPr>
          <w:rFonts w:hint="eastAsia"/>
        </w:rPr>
        <w:t>，</w:t>
      </w:r>
      <w:r>
        <w:rPr>
          <w:rFonts w:hint="eastAsia"/>
          <w:lang w:eastAsia="zh-CN"/>
        </w:rPr>
        <w:t>平均年降水量</w:t>
      </w:r>
      <w:r>
        <w:rPr>
          <w:rFonts w:hint="eastAsia"/>
        </w:rPr>
        <w:t>594.8 mm，无霜期144 d。公主岭市全市盛行西南风，历年平均风速3.9 m/s。</w:t>
      </w:r>
    </w:p>
    <w:p w14:paraId="052A49CC">
      <w:pPr>
        <w:pStyle w:val="6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/>
        <w:textAlignment w:val="auto"/>
      </w:pPr>
      <w:r>
        <w:rPr>
          <w:rFonts w:hint="eastAsia"/>
          <w:b/>
          <w:bCs/>
        </w:rPr>
        <w:t>土壤情况</w:t>
      </w:r>
      <w:bookmarkStart w:id="0" w:name="OLE_LINK2"/>
      <w:r>
        <w:rPr>
          <w:rFonts w:hint="eastAsia"/>
          <w:b/>
          <w:bCs/>
        </w:rPr>
        <w:t>：</w:t>
      </w:r>
      <w:bookmarkEnd w:id="0"/>
      <w:r>
        <w:rPr>
          <w:rFonts w:hint="eastAsia"/>
        </w:rPr>
        <w:t>地质构造为第四</w:t>
      </w:r>
      <w:r>
        <w:rPr>
          <w:rFonts w:hint="eastAsia"/>
          <w:lang w:val="en-US" w:eastAsia="zh-CN"/>
        </w:rPr>
        <w:t>纪</w:t>
      </w:r>
      <w:r>
        <w:rPr>
          <w:rFonts w:hint="eastAsia"/>
        </w:rPr>
        <w:t>冲积层覆盖，多属黑质粘土，有少部分地区含有砂质粘土，有机质含量丰富，是玉米、水稻、大豆三大主要农作物育种创新和品种测试的优势区域，一般地基承载能力均在2 kg/cm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上下。最大冻结深度1.6</w:t>
      </w:r>
      <w:r>
        <w:rPr>
          <w:rFonts w:hint="eastAsia"/>
          <w:lang w:eastAsia="zh-CN"/>
        </w:rPr>
        <w:t>—</w:t>
      </w:r>
      <w:r>
        <w:rPr>
          <w:rFonts w:hint="eastAsia"/>
        </w:rPr>
        <w:t>1.7 m。</w:t>
      </w:r>
    </w:p>
    <w:p w14:paraId="2FA4377A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firstLine="640" w:firstLineChars="200"/>
        <w:textAlignment w:val="auto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三、设施条件</w:t>
      </w:r>
    </w:p>
    <w:p w14:paraId="6676F95E"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/>
        <w:textAlignment w:val="auto"/>
      </w:pPr>
      <w:r>
        <w:rPr>
          <w:rFonts w:hint="eastAsia"/>
          <w:b/>
          <w:bCs/>
        </w:rPr>
        <w:t>试验田块：</w:t>
      </w:r>
      <w:r>
        <w:rPr>
          <w:rFonts w:hint="eastAsia"/>
        </w:rPr>
        <w:t>依托网格化改造，</w:t>
      </w:r>
      <w:r>
        <w:rPr>
          <w:rFonts w:hint="eastAsia"/>
          <w:lang w:eastAsia="zh-CN"/>
        </w:rPr>
        <w:t>示范基地</w:t>
      </w:r>
      <w:r>
        <w:rPr>
          <w:rFonts w:hint="eastAsia"/>
        </w:rPr>
        <w:t>划分为5</w:t>
      </w:r>
      <w:r>
        <w:t>个大区、</w:t>
      </w:r>
      <w:r>
        <w:rPr>
          <w:rFonts w:hint="eastAsia"/>
        </w:rPr>
        <w:t>143</w:t>
      </w:r>
      <w:r>
        <w:t>个田块，单块规模1</w:t>
      </w:r>
      <w:r>
        <w:rPr>
          <w:rFonts w:hint="eastAsia"/>
        </w:rPr>
        <w:t>5</w:t>
      </w:r>
      <w:r>
        <w:t>至</w:t>
      </w:r>
      <w:r>
        <w:rPr>
          <w:rFonts w:hint="eastAsia"/>
        </w:rPr>
        <w:t>200</w:t>
      </w:r>
      <w:r>
        <w:t>亩不等。功能布局科学，体系完善，可灵活适配多样化的技术推广与高标准生产示范要求。</w:t>
      </w:r>
    </w:p>
    <w:p w14:paraId="3CA36C8C"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/>
        <w:textAlignment w:val="auto"/>
      </w:pPr>
      <w:r>
        <w:rPr>
          <w:rFonts w:hint="eastAsia"/>
          <w:b/>
          <w:bCs/>
        </w:rPr>
        <w:t>灌溉条件：</w:t>
      </w:r>
      <w:r>
        <w:rPr>
          <w:rFonts w:hint="eastAsia"/>
          <w:lang w:eastAsia="zh-CN"/>
        </w:rPr>
        <w:t>示范基地</w:t>
      </w:r>
      <w:r>
        <w:rPr>
          <w:rFonts w:hint="eastAsia"/>
        </w:rPr>
        <w:t>地处辽河水系，周边为东辽河及其支流二十家子河、公主岭河、六零河、兴隆河、卡伦河、卡伦湖、小辽河等。</w:t>
      </w:r>
      <w:r>
        <w:t>建有完善的灌排水沟</w:t>
      </w:r>
      <w:r>
        <w:rPr>
          <w:rFonts w:hint="eastAsia"/>
        </w:rPr>
        <w:t>，水源</w:t>
      </w:r>
      <w:r>
        <w:t>调配灵活。同时装备</w:t>
      </w:r>
      <w:r>
        <w:rPr>
          <w:rFonts w:hint="eastAsia"/>
        </w:rPr>
        <w:t>水肥一体化设备</w:t>
      </w:r>
      <w:r>
        <w:t>、平移式喷灌机等现代化灌溉设备，</w:t>
      </w:r>
      <w:r>
        <w:rPr>
          <w:rFonts w:hint="eastAsia"/>
        </w:rPr>
        <w:t>水源使用精准高效。</w:t>
      </w:r>
    </w:p>
    <w:p w14:paraId="77908049"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/>
        <w:textAlignment w:val="auto"/>
      </w:pPr>
      <w:r>
        <w:rPr>
          <w:rFonts w:hint="eastAsia"/>
          <w:b/>
          <w:bCs/>
        </w:rPr>
        <w:t>农机装备：</w:t>
      </w:r>
      <w:r>
        <w:rPr>
          <w:rFonts w:hint="eastAsia"/>
          <w:lang w:eastAsia="zh-CN"/>
        </w:rPr>
        <w:t>示范基地</w:t>
      </w:r>
      <w:r>
        <w:t>配备大马力拖拉机、智能播种机、联合收割机及多型号植保无人机等现代化农业机械</w:t>
      </w:r>
      <w:r>
        <w:rPr>
          <w:rFonts w:hint="eastAsia"/>
        </w:rPr>
        <w:t>，</w:t>
      </w:r>
      <w:r>
        <w:t>能够为各类种植试验与技术示范提供高效、可靠的全程机械化作业保障</w:t>
      </w:r>
      <w:r>
        <w:rPr>
          <w:rFonts w:hint="eastAsia"/>
        </w:rPr>
        <w:t>。</w:t>
      </w:r>
    </w:p>
    <w:p w14:paraId="785A2CF9"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/>
        <w:textAlignment w:val="auto"/>
      </w:pPr>
      <w:r>
        <w:rPr>
          <w:b/>
          <w:bCs/>
        </w:rPr>
        <w:t>平台体系</w:t>
      </w:r>
      <w:r>
        <w:rPr>
          <w:rFonts w:hint="eastAsia"/>
          <w:b/>
          <w:bCs/>
        </w:rPr>
        <w:t>：</w:t>
      </w:r>
      <w:r>
        <w:t>已建成并持续升级公共实验室、种质资源库、中试基地等一批专业化、共享式科研设施。正重点规划建设黑土地保护与利用国家重点实验室、国家分子育种中心东北分中心等国家级重大平台。</w:t>
      </w:r>
    </w:p>
    <w:p w14:paraId="0AE90997"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/>
        <w:textAlignment w:val="auto"/>
      </w:pPr>
      <w:r>
        <w:rPr>
          <w:rFonts w:hint="eastAsia"/>
          <w:b/>
          <w:bCs/>
        </w:rPr>
        <w:t>管理运行：</w:t>
      </w:r>
      <w:r>
        <w:rPr>
          <w:rFonts w:hint="eastAsia"/>
          <w:lang w:eastAsia="zh-CN"/>
        </w:rPr>
        <w:t>示范基地</w:t>
      </w:r>
      <w:r>
        <w:rPr>
          <w:rFonts w:hint="eastAsia"/>
        </w:rPr>
        <w:t>具体建设和运行管理等工作由吉林长春国家农高区</w:t>
      </w:r>
      <w:r>
        <w:t>农业农村局</w:t>
      </w:r>
      <w:r>
        <w:rPr>
          <w:rFonts w:hint="eastAsia"/>
        </w:rPr>
        <w:t>负责，日常管理工作由长春农高科研基地管理有限公司承担。</w:t>
      </w:r>
    </w:p>
    <w:p w14:paraId="584C71FD">
      <w:pPr>
        <w:pStyle w:val="7"/>
      </w:pPr>
    </w:p>
    <w:p w14:paraId="10548BCA">
      <w:pPr>
        <w:pStyle w:val="7"/>
        <w:rPr>
          <w:shd w:val="clear" w:color="auto" w:fill="FFFFFF"/>
        </w:rPr>
      </w:pPr>
      <w:r>
        <w:drawing>
          <wp:inline distT="0" distB="0" distL="0" distR="0">
            <wp:extent cx="5219700" cy="2936240"/>
            <wp:effectExtent l="0" t="0" r="0" b="3810"/>
            <wp:docPr id="4" name="图片 4" descr="0c20e105f795bd5f6fbca7bbc0e689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c20e105f795bd5f6fbca7bbc0e6896e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93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1685D">
      <w:pPr>
        <w:pStyle w:val="7"/>
        <w:rPr>
          <w:rFonts w:hint="eastAsia"/>
          <w:shd w:val="clear" w:color="auto" w:fill="FFFFFF"/>
        </w:rPr>
      </w:pPr>
    </w:p>
    <w:p w14:paraId="082926FB">
      <w:pPr>
        <w:pStyle w:val="7"/>
        <w:rPr>
          <w:shd w:val="clear" w:color="auto" w:fill="FFFFFF"/>
        </w:rPr>
      </w:pPr>
      <w:r>
        <w:drawing>
          <wp:inline distT="0" distB="0" distL="0" distR="0">
            <wp:extent cx="5219700" cy="2936240"/>
            <wp:effectExtent l="0" t="0" r="0" b="3810"/>
            <wp:docPr id="6" name="图片 6" descr="4436be180551b1cd03c43ecfd1c0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436be180551b1cd03c43ecfd1c0249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9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C80B0">
      <w:pPr>
        <w:pStyle w:val="7"/>
      </w:pPr>
    </w:p>
    <w:p w14:paraId="77BDB88F">
      <w:pPr>
        <w:pStyle w:val="7"/>
        <w:rPr>
          <w:shd w:val="clear" w:color="auto" w:fill="FFFFFF"/>
        </w:rPr>
      </w:pPr>
      <w:r>
        <w:drawing>
          <wp:inline distT="0" distB="0" distL="0" distR="0">
            <wp:extent cx="5219700" cy="2933065"/>
            <wp:effectExtent l="0" t="0" r="0" b="635"/>
            <wp:docPr id="7" name="图片 7" descr="175c024712df025beea11a927465f3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c024712df025beea11a927465f3fd"/>
                    <pic:cNvPicPr preferRelativeResize="0"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93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9B1B0">
      <w:pPr>
        <w:pStyle w:val="7"/>
      </w:pPr>
    </w:p>
    <w:p w14:paraId="6957F71E">
      <w:pPr>
        <w:pStyle w:val="7"/>
        <w:rPr>
          <w:shd w:val="clear" w:color="auto" w:fill="FFFFFF"/>
        </w:rPr>
      </w:pPr>
      <w:r>
        <w:drawing>
          <wp:inline distT="0" distB="0" distL="0" distR="0">
            <wp:extent cx="5219700" cy="2933065"/>
            <wp:effectExtent l="0" t="0" r="0" b="635"/>
            <wp:docPr id="8" name="图片 8" descr="761a69673f778efa31110c9a57e0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61a69673f778efa31110c9a57e07885"/>
                    <pic:cNvPicPr preferRelativeResize="0"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93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FD9B">
      <w:pPr>
        <w:widowControl/>
        <w:spacing w:line="240" w:lineRule="auto"/>
        <w:ind w:firstLine="0" w:firstLineChars="0"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640"/>
      </w:pPr>
      <w:r>
        <w:separator/>
      </w:r>
    </w:p>
  </w:footnote>
  <w:footnote w:type="continuationSeparator" w:id="1">
    <w:p>
      <w:pPr>
        <w:spacing w:line="36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41250A"/>
    <w:multiLevelType w:val="multilevel"/>
    <w:tmpl w:val="2041250A"/>
    <w:lvl w:ilvl="0" w:tentative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  <w:b/>
        <w:bCs/>
      </w:rPr>
    </w:lvl>
    <w:lvl w:ilvl="1" w:tentative="0">
      <w:start w:val="1"/>
      <w:numFmt w:val="lowerLetter"/>
      <w:lvlText w:val="%2)"/>
      <w:lvlJc w:val="left"/>
      <w:pPr>
        <w:ind w:left="0" w:firstLine="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1">
    <w:nsid w:val="651D4E73"/>
    <w:multiLevelType w:val="multilevel"/>
    <w:tmpl w:val="651D4E73"/>
    <w:lvl w:ilvl="0" w:tentative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  <w:b/>
        <w:bCs/>
      </w:rPr>
    </w:lvl>
    <w:lvl w:ilvl="1" w:tentative="0">
      <w:start w:val="1"/>
      <w:numFmt w:val="lowerLetter"/>
      <w:lvlText w:val="%2)"/>
      <w:lvlJc w:val="left"/>
      <w:pPr>
        <w:ind w:left="0" w:firstLine="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5B4A01"/>
    <w:rsid w:val="4B66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360" w:lineRule="auto"/>
      <w:jc w:val="center"/>
      <w:outlineLvl w:val="0"/>
    </w:pPr>
    <w:rPr>
      <w:rFonts w:eastAsia="宋体" w:asciiTheme="minorAscii" w:hAnsiTheme="minorAscii"/>
      <w:b/>
      <w:kern w:val="44"/>
      <w:sz w:val="36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left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34"/>
    <w:pPr>
      <w:ind w:firstLine="420"/>
    </w:pPr>
  </w:style>
  <w:style w:type="paragraph" w:customStyle="1" w:styleId="7">
    <w:name w:val="空行居中"/>
    <w:qFormat/>
    <w:uiPriority w:val="0"/>
    <w:pPr>
      <w:widowControl w:val="0"/>
      <w:spacing w:line="360" w:lineRule="auto"/>
      <w:jc w:val="center"/>
    </w:pPr>
    <w:rPr>
      <w:rFonts w:ascii="Times New Roman" w:hAnsi="Times New Roman" w:eastAsia="仿宋_GB2312" w:cs="Arial Unicode MS"/>
      <w:color w:val="000000"/>
      <w:kern w:val="2"/>
      <w:sz w:val="32"/>
      <w:szCs w:val="21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966</Words>
  <Characters>998</Characters>
  <Lines>0</Lines>
  <Paragraphs>0</Paragraphs>
  <TotalTime>0</TotalTime>
  <ScaleCrop>false</ScaleCrop>
  <LinksUpToDate>false</LinksUpToDate>
  <CharactersWithSpaces>1004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2026-02-13T03:08:00Z</dcterms:created>
  <dc:creator>王菲菲</dc:creator>
  <cp:lastModifiedBy>菲菲爱吃肉</cp:lastModifiedBy>
  <dcterms:modified xsi:type="dcterms:W3CDTF">2026-02-14T12:42:01Z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eyJoZGlkIjoiOGYzODY3MzRhNzExMTUyOWFkODNlMzRmMjY1NzZhNDMiLCJ1c2VySWQiOiIzMTU0MzExNDcifQ==</vt:lpwstr>
  </property>
  <property fmtid="{D5CDD505-2E9C-101B-9397-08002B2CF9AE}" pid="4" name="ICV">
    <vt:lpwstr>382D630334DE4CE7B89D32B8B6CEE635_12</vt:lpwstr>
  </property>
</Properties>
</file>